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绩效考核与薪酬福利设计中的法律风险及应对报名表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