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新公司法对涉税问题处理及高净值人士税务风险防范技巧报名表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