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劳动合同法新规定、新变化及企业应对策略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